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i w:val="1"/>
          <w:iCs w:val="1"/>
          <w:rtl w:val="0"/>
        </w:rPr>
        <w:t xml:space="preserve">Editorial</w:t>
      </w:r>
      <w:r w:rsidDel="00000000" w:rsidR="00000000" w:rsidRPr="00000000">
        <w:rPr>
          <w:rtl w:val="0"/>
        </w:rPr>
      </w:r>
    </w:p>
    <w:p w:rsidR="00000000" w:rsidDel="00000000" w:rsidP="00000000" w:rsidRDefault="00000000" w:rsidRPr="00000000" w14:paraId="00000002">
      <w:pPr>
        <w:spacing w:after="240" w:line="240" w:lineRule="auto"/>
        <w:jc w:val="center"/>
        <w:rPr>
          <w:rFonts w:ascii="Times New Roman" w:cs="Times New Roman" w:eastAsia="Times New Roman" w:hAnsi="Times New Roman"/>
          <w:b w:val="1"/>
          <w:bCs w:val="1"/>
          <w:i w:val="1"/>
          <w:iCs w:val="1"/>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Resultados de investigaciones en el Doctorado Interinstitucional en Educación</w:t>
      </w:r>
    </w:p>
    <w:p w:rsidR="00000000" w:rsidDel="00000000" w:rsidP="00000000" w:rsidRDefault="00000000" w:rsidRPr="00000000" w14:paraId="00000003">
      <w:pPr>
        <w:spacing w:after="0" w:line="360" w:lineRule="auto"/>
        <w:jc w:val="center"/>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Research results from the Interinstitutional Doctorate in Education</w:t>
      </w:r>
    </w:p>
    <w:p w:rsidR="00000000" w:rsidDel="00000000" w:rsidP="00000000" w:rsidRDefault="00000000" w:rsidRPr="00000000" w14:paraId="00000004">
      <w:pPr>
        <w:spacing w:line="360" w:lineRule="auto"/>
        <w:jc w:val="center"/>
        <w:rPr>
          <w:rFonts w:ascii="Times New Roman" w:cs="Times New Roman" w:eastAsia="Times New Roman" w:hAnsi="Times New Roman"/>
          <w:b w:val="1"/>
          <w:bCs w:val="1"/>
          <w:i w:val="1"/>
          <w:iCs w:val="1"/>
        </w:rPr>
      </w:pPr>
      <w:r w:rsidDel="00000000" w:rsidR="00000000" w:rsidRPr="00000000">
        <w:rPr>
          <w:rFonts w:ascii="Times New Roman" w:cs="Times New Roman" w:eastAsia="Times New Roman" w:hAnsi="Times New Roman"/>
          <w:b w:val="1"/>
          <w:bCs w:val="1"/>
          <w:i w:val="1"/>
          <w:iCs w:val="1"/>
          <w:rtl w:val="0"/>
        </w:rPr>
        <w:t xml:space="preserve">Resultados das pesquisas no Doutorado Interinstitucional em Educação</w:t>
      </w:r>
    </w:p>
    <w:p w:rsidR="00000000" w:rsidDel="00000000" w:rsidP="00000000" w:rsidRDefault="00000000" w:rsidRPr="00000000" w14:paraId="00000005">
      <w:pPr>
        <w:spacing w:after="0" w:line="276" w:lineRule="auto"/>
        <w:jc w:val="right"/>
        <w:rPr>
          <w:rFonts w:ascii="Times New Roman" w:cs="Times New Roman" w:eastAsia="Times New Roman" w:hAnsi="Times New Roman"/>
          <w:i w:val="1"/>
          <w:iCs w:val="1"/>
        </w:rPr>
      </w:pPr>
      <w:bookmarkStart w:colFirst="0" w:colLast="0" w:name="_heading=h.4gnw2d2g0hoq" w:id="0"/>
      <w:bookmarkEnd w:id="0"/>
      <w:r w:rsidDel="00000000" w:rsidR="00000000" w:rsidRPr="00000000">
        <w:rPr>
          <w:rFonts w:ascii="Times New Roman" w:cs="Times New Roman" w:eastAsia="Times New Roman" w:hAnsi="Times New Roman"/>
          <w:i w:val="1"/>
          <w:iCs w:val="1"/>
          <w:rtl w:val="0"/>
        </w:rPr>
        <w:t xml:space="preserve">Editora invitada:</w:t>
      </w:r>
    </w:p>
    <w:p w:rsidR="00000000" w:rsidDel="00000000" w:rsidP="00000000" w:rsidRDefault="00000000" w:rsidRPr="00000000" w14:paraId="00000006">
      <w:pPr>
        <w:spacing w:after="0" w:line="276" w:lineRule="auto"/>
        <w:jc w:val="right"/>
        <w:rPr>
          <w:rFonts w:ascii="Times New Roman" w:cs="Times New Roman" w:eastAsia="Times New Roman" w:hAnsi="Times New Roman"/>
          <w:i w:val="1"/>
          <w:iCs w:val="1"/>
        </w:rPr>
      </w:pPr>
      <w:bookmarkStart w:colFirst="0" w:colLast="0" w:name="_heading=h.8jmd5b38xmf3" w:id="1"/>
      <w:bookmarkEnd w:id="1"/>
      <w:r w:rsidDel="00000000" w:rsidR="00000000" w:rsidRPr="00000000">
        <w:rPr>
          <w:rFonts w:ascii="Times New Roman" w:cs="Times New Roman" w:eastAsia="Times New Roman" w:hAnsi="Times New Roman"/>
          <w:i w:val="1"/>
          <w:iCs w:val="1"/>
          <w:rtl w:val="0"/>
        </w:rPr>
        <w:t xml:space="preserve">Isabel Garzón Barragán</w:t>
      </w:r>
      <w:r w:rsidDel="00000000" w:rsidR="00000000" w:rsidRPr="00000000">
        <w:rPr>
          <w:rFonts w:ascii="Times New Roman" w:cs="Times New Roman" w:eastAsia="Times New Roman" w:hAnsi="Times New Roman"/>
          <w:i w:val="1"/>
          <w:iCs w:val="1"/>
          <w:vertAlign w:val="superscript"/>
        </w:rPr>
        <w:footnoteReference w:customMarkFollows="0" w:id="0"/>
      </w:r>
      <w:r w:rsidDel="00000000" w:rsidR="00000000" w:rsidRPr="00000000">
        <w:rPr>
          <w:rtl w:val="0"/>
        </w:rPr>
      </w:r>
    </w:p>
    <w:p w:rsidR="00000000" w:rsidDel="00000000" w:rsidP="00000000" w:rsidRDefault="00000000" w:rsidRPr="00000000" w14:paraId="00000007">
      <w:pPr>
        <w:spacing w:after="0" w:line="240" w:lineRule="auto"/>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9">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El presente número de la revista </w:t>
      </w:r>
      <w:r w:rsidDel="00000000" w:rsidR="00000000" w:rsidRPr="00000000">
        <w:rPr>
          <w:rFonts w:ascii="Times New Roman" w:cs="Times New Roman" w:eastAsia="Times New Roman" w:hAnsi="Times New Roman"/>
          <w:i w:val="1"/>
          <w:iCs w:val="1"/>
          <w:rtl w:val="0"/>
        </w:rPr>
        <w:t xml:space="preserve">Praxis Educación y Pedagogía</w:t>
      </w:r>
      <w:r w:rsidDel="00000000" w:rsidR="00000000" w:rsidRPr="00000000">
        <w:rPr>
          <w:rFonts w:ascii="Times New Roman" w:cs="Times New Roman" w:eastAsia="Times New Roman" w:hAnsi="Times New Roman"/>
          <w:rtl w:val="0"/>
        </w:rPr>
        <w:t xml:space="preserve"> constituye una edición especial con once artículos de investigación, reporte de avances de investigación y reflexión. Estos han sido elaborados por estudiantes, egresados y docentes del Doctorado Interinstitucional en Educación, un programa de las universidades públicas del Valle, Pedagógica y Distrital. Los textos reflejan, con evidencia y rigor, el trabajo desarrollado en diversas líneas de investigación agrupadas en ocho énfasis. El objetivo común es comprender las complejidades de la educación en Colombia para cuestionarla, adaptarla y transformarla, impulsando así el desarrollo humano y la construcción de una sociedad en paz.</w:t>
      </w:r>
    </w:p>
    <w:p w:rsidR="00000000" w:rsidDel="00000000" w:rsidP="00000000" w:rsidRDefault="00000000" w:rsidRPr="00000000" w14:paraId="0000000A">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E</w:t>
      </w:r>
      <w:r w:rsidDel="00000000" w:rsidR="00000000" w:rsidRPr="00000000">
        <w:rPr>
          <w:rFonts w:ascii="Times New Roman" w:cs="Times New Roman" w:eastAsia="Times New Roman" w:hAnsi="Times New Roman"/>
          <w:color w:val="000000"/>
          <w:sz w:val="24"/>
          <w:szCs w:val="24"/>
          <w:rtl w:val="0"/>
        </w:rPr>
        <w:t xml:space="preserve">n primer lugar, está el artículo </w:t>
      </w:r>
      <w:r w:rsidDel="00000000" w:rsidR="00000000" w:rsidRPr="00000000">
        <w:rPr>
          <w:rFonts w:ascii="Times New Roman" w:cs="Times New Roman" w:eastAsia="Times New Roman" w:hAnsi="Times New Roman"/>
          <w:i w:val="1"/>
          <w:iCs w:val="1"/>
          <w:color w:val="000000"/>
          <w:sz w:val="24"/>
          <w:szCs w:val="24"/>
          <w:rtl w:val="0"/>
        </w:rPr>
        <w:t xml:space="preserve">Pensamiento científico y tecnológico: un estudio de sus relaciones mediante electroencefalografía cuantitativa en estudiantes de secundaria</w:t>
      </w:r>
      <w:r w:rsidDel="00000000" w:rsidR="00000000" w:rsidRPr="00000000">
        <w:rPr>
          <w:rFonts w:ascii="Times New Roman" w:cs="Times New Roman" w:eastAsia="Times New Roman" w:hAnsi="Times New Roman"/>
          <w:color w:val="000000"/>
          <w:sz w:val="24"/>
          <w:szCs w:val="24"/>
          <w:rtl w:val="0"/>
        </w:rPr>
        <w:t xml:space="preserve">; el cual analiza y compara cuantitativamente las señales encefalográficas de 28 estudiantes al resolver </w:t>
      </w:r>
      <w:r w:rsidDel="00000000" w:rsidR="00000000" w:rsidRPr="00000000">
        <w:rPr>
          <w:rFonts w:ascii="Times New Roman" w:cs="Times New Roman" w:eastAsia="Times New Roman" w:hAnsi="Times New Roman"/>
          <w:color w:val="000000"/>
          <w:sz w:val="24"/>
          <w:szCs w:val="24"/>
          <w:highlight w:val="white"/>
          <w:rtl w:val="0"/>
        </w:rPr>
        <w:t xml:space="preserve">pruebas relacionadas con 12 actividades escolares que promueven el pensamiento tecnológico, científico y tecno-científico. Los resultados muestran que el pensamiento científico activa mayoritariamente áreas auditivas y somatosensoriales, vinculadas al diálogo interno, mientras que el pensamiento tecnológico presenta mayor activación en áreas visuales y parietales, relacionadas con el procesamiento visomotor y la memoria de trabajo espacial, y el pensamiento tecno-científico combina ambos patrones.</w:t>
      </w:r>
      <w:r w:rsidDel="00000000" w:rsidR="00000000" w:rsidRPr="00000000">
        <w:rPr>
          <w:rtl w:val="0"/>
        </w:rPr>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color w:val="000000"/>
          <w:sz w:val="24"/>
          <w:szCs w:val="24"/>
          <w:rtl w:val="0"/>
        </w:rPr>
        <w:t xml:space="preserve">El artículo de reflexión</w:t>
      </w:r>
      <w:r w:rsidDel="00000000" w:rsidR="00000000" w:rsidRPr="00000000">
        <w:rPr>
          <w:rFonts w:ascii="Times New Roman" w:cs="Times New Roman" w:eastAsia="Times New Roman" w:hAnsi="Times New Roman"/>
          <w:i w:val="1"/>
          <w:iCs w:val="1"/>
          <w:color w:val="000000"/>
          <w:sz w:val="24"/>
          <w:szCs w:val="24"/>
          <w:rtl w:val="0"/>
        </w:rPr>
        <w:t xml:space="preserve"> Oportunidades en la relación currículo integrado y el campo de estudio de las literacidades: algunas proyecciones para su investigación en el contexto de la educación secundaria</w:t>
      </w:r>
      <w:r w:rsidDel="00000000" w:rsidR="00000000" w:rsidRPr="00000000">
        <w:rPr>
          <w:rFonts w:ascii="Times New Roman" w:cs="Times New Roman" w:eastAsia="Times New Roman" w:hAnsi="Times New Roman"/>
          <w:color w:val="000000"/>
          <w:sz w:val="24"/>
          <w:szCs w:val="24"/>
          <w:rtl w:val="0"/>
        </w:rPr>
        <w:t xml:space="preserve">, presenta esta relación a partir de una revisión bibliográfica de trece estudios, cinco sobre currículo integrado y ocho sobre literacidades. </w:t>
      </w: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color w:val="000000"/>
          <w:sz w:val="24"/>
          <w:szCs w:val="24"/>
          <w:rtl w:val="0"/>
        </w:rPr>
        <w:t xml:space="preserve">Por su parte, el artículo </w:t>
      </w:r>
      <w:r w:rsidDel="00000000" w:rsidR="00000000" w:rsidRPr="00000000">
        <w:rPr>
          <w:rFonts w:ascii="Times New Roman" w:cs="Times New Roman" w:eastAsia="Times New Roman" w:hAnsi="Times New Roman"/>
          <w:i w:val="1"/>
          <w:iCs w:val="1"/>
          <w:color w:val="000000"/>
          <w:sz w:val="24"/>
          <w:szCs w:val="24"/>
          <w:rtl w:val="0"/>
        </w:rPr>
        <w:t xml:space="preserve">Trayectorias educativas de jóvenes bogotanos en extraedad: un enfoque cultural y contextual</w:t>
      </w:r>
      <w:r w:rsidDel="00000000" w:rsidR="00000000" w:rsidRPr="00000000">
        <w:rPr>
          <w:rFonts w:ascii="Times New Roman" w:cs="Times New Roman" w:eastAsia="Times New Roman" w:hAnsi="Times New Roman"/>
          <w:color w:val="000000"/>
          <w:sz w:val="24"/>
          <w:szCs w:val="24"/>
          <w:rtl w:val="0"/>
        </w:rPr>
        <w:t xml:space="preserve"> es resultado de una revisión y análisis del estado </w:t>
      </w:r>
      <w:r w:rsidDel="00000000" w:rsidR="00000000" w:rsidRPr="00000000">
        <w:rPr>
          <w:rFonts w:ascii="Times New Roman" w:cs="Times New Roman" w:eastAsia="Times New Roman" w:hAnsi="Times New Roman"/>
          <w:color w:val="000000"/>
          <w:sz w:val="24"/>
          <w:szCs w:val="24"/>
          <w:highlight w:val="white"/>
          <w:rtl w:val="0"/>
        </w:rPr>
        <w:t xml:space="preserve">actual de la investigación sobre la extraedad en los ámbitos escolar y familiar de jóvenes y adolescentes, desde la teoría de las prácticas sociales y la teoría del campo de Pierre Bourdieu. Los resultados ponen en evidencia la escasez de estudios centrados en este fenómeno; lo cual resalta la importancia de comprender y mejorar las formas de atención hacia estos jóvenes en el sistema educativo.</w:t>
      </w:r>
      <w:r w:rsidDel="00000000" w:rsidR="00000000" w:rsidRPr="00000000">
        <w:rPr>
          <w:rtl w:val="0"/>
        </w:rPr>
      </w:r>
    </w:p>
    <w:p w:rsidR="00000000" w:rsidDel="00000000" w:rsidP="00000000" w:rsidRDefault="00000000" w:rsidRPr="00000000" w14:paraId="0000000D">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color w:val="000000"/>
          <w:sz w:val="24"/>
          <w:szCs w:val="24"/>
          <w:rtl w:val="0"/>
        </w:rPr>
        <w:t xml:space="preserve">Otro de los artículos </w:t>
      </w:r>
      <w:r w:rsidDel="00000000" w:rsidR="00000000" w:rsidRPr="00000000">
        <w:rPr>
          <w:rFonts w:ascii="Times New Roman" w:cs="Times New Roman" w:eastAsia="Times New Roman" w:hAnsi="Times New Roman"/>
          <w:i w:val="1"/>
          <w:iCs w:val="1"/>
          <w:color w:val="000000"/>
          <w:sz w:val="24"/>
          <w:szCs w:val="24"/>
          <w:rtl w:val="0"/>
        </w:rPr>
        <w:t xml:space="preserve">La teoría de las representaciones sociales: un constructo irruptivo en la</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i w:val="1"/>
          <w:iCs w:val="1"/>
          <w:color w:val="000000"/>
          <w:sz w:val="24"/>
          <w:szCs w:val="24"/>
          <w:rtl w:val="0"/>
        </w:rPr>
        <w:t xml:space="preserve">investigación</w:t>
      </w:r>
      <w:r w:rsidDel="00000000" w:rsidR="00000000" w:rsidRPr="00000000">
        <w:rPr>
          <w:rFonts w:ascii="Times New Roman" w:cs="Times New Roman" w:eastAsia="Times New Roman" w:hAnsi="Times New Roman"/>
          <w:color w:val="000000"/>
          <w:sz w:val="24"/>
          <w:szCs w:val="24"/>
          <w:rtl w:val="0"/>
        </w:rPr>
        <w:t xml:space="preserve"> presenta una reflexión acerca de las </w:t>
      </w:r>
      <w:r w:rsidDel="00000000" w:rsidR="00000000" w:rsidRPr="00000000">
        <w:rPr>
          <w:rFonts w:ascii="Times New Roman" w:cs="Times New Roman" w:eastAsia="Times New Roman" w:hAnsi="Times New Roman"/>
          <w:color w:val="000000"/>
          <w:sz w:val="24"/>
          <w:szCs w:val="24"/>
          <w:highlight w:val="white"/>
          <w:rtl w:val="0"/>
        </w:rPr>
        <w:t xml:space="preserve">representaciones sociales en el proceso de formación del educador infantil a partir de una revisión documental del origen, críticas y postulados teóricos y metodológicos de las representaciones sociales vinculados con la educación. </w:t>
      </w:r>
      <w:r w:rsidDel="00000000" w:rsidR="00000000" w:rsidRPr="00000000">
        <w:rPr>
          <w:rtl w:val="0"/>
        </w:rPr>
      </w:r>
    </w:p>
    <w:p w:rsidR="00000000" w:rsidDel="00000000" w:rsidP="00000000" w:rsidRDefault="00000000" w:rsidRPr="00000000" w14:paraId="0000000E">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su vez, el artículo </w:t>
      </w:r>
      <w:r w:rsidDel="00000000" w:rsidR="00000000" w:rsidRPr="00000000">
        <w:rPr>
          <w:rFonts w:ascii="Times New Roman" w:cs="Times New Roman" w:eastAsia="Times New Roman" w:hAnsi="Times New Roman"/>
          <w:i w:val="1"/>
          <w:iCs w:val="1"/>
          <w:color w:val="000000"/>
          <w:sz w:val="24"/>
          <w:szCs w:val="24"/>
          <w:rtl w:val="0"/>
        </w:rPr>
        <w:t xml:space="preserve">El aula como espacio sensible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presenta una reflexión sobre la presencia y reconocimiento de la emoción y el afecto como elementos de la formación en el aula a partir de una revisión documental. Como resultado se proponen líneas de diálogo entre las nociones conceptuales y las características de la escolarización en el aula colombiana; además, se vislumbran puntos de partida para un debate actual que involucre el reconocimiento de la emoción, el afecto y la sensibilidad en el proyecto formativo de la escuela, para pensar transformaciones en el ámbito educativo colombiano.</w:t>
      </w:r>
      <w:r w:rsidDel="00000000" w:rsidR="00000000" w:rsidRPr="00000000">
        <w:rPr>
          <w:rtl w:val="0"/>
        </w:rPr>
      </w:r>
    </w:p>
    <w:p w:rsidR="00000000" w:rsidDel="00000000" w:rsidP="00000000" w:rsidRDefault="00000000" w:rsidRPr="00000000" w14:paraId="0000000F">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El artículo </w:t>
      </w:r>
      <w:r w:rsidDel="00000000" w:rsidR="00000000" w:rsidRPr="00000000">
        <w:rPr>
          <w:rFonts w:ascii="Times New Roman" w:cs="Times New Roman" w:eastAsia="Times New Roman" w:hAnsi="Times New Roman"/>
          <w:i w:val="1"/>
          <w:iCs w:val="1"/>
          <w:rtl w:val="0"/>
        </w:rPr>
        <w:t xml:space="preserve">Prácticas pedagógicas sobre la transversalidad curricular en la educación rural colombiana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highlight w:val="white"/>
          <w:rtl w:val="0"/>
        </w:rPr>
        <w:t xml:space="preserve">aborda las prácticas pedagógicas de profesores de la básica primaria de las escuelas multigrado del sector rural, las cuales se caracterizan por tener estudiantes de diferentes grados y edades en un mismo salón, así como un solo profesor responsable de todas las asignaturas y proyectos educativos. Los resultados muestran que algunos profesores integran temas transversales como el cuidado del ambiente y el aprovechamiento del tiempo libre. No obstante, la mayoría de los profesores no incluyen actividades dirigidas al desarrollo de las dimensiones éticas y sociales, que incluyan todas las áreas de estudio y fortalezcan el trabajo de la transversalidad curricular. Esta situación sugiere una oportunidad de mejora en la integración de este enfoque en sus prácticas docentes.</w:t>
      </w:r>
    </w:p>
    <w:p w:rsidR="00000000" w:rsidDel="00000000" w:rsidP="00000000" w:rsidRDefault="00000000" w:rsidRPr="00000000" w14:paraId="00000010">
      <w:pPr>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rtl w:val="0"/>
        </w:rPr>
        <w:t xml:space="preserve">Otro artículo de reflexión es el titulado </w:t>
      </w:r>
      <w:r w:rsidDel="00000000" w:rsidR="00000000" w:rsidRPr="00000000">
        <w:rPr>
          <w:rFonts w:ascii="Times New Roman" w:cs="Times New Roman" w:eastAsia="Times New Roman" w:hAnsi="Times New Roman"/>
          <w:i w:val="1"/>
          <w:iCs w:val="1"/>
          <w:color w:val="000000"/>
          <w:sz w:val="24"/>
          <w:szCs w:val="24"/>
          <w:rtl w:val="0"/>
        </w:rPr>
        <w:t xml:space="preserve">La interculturalidad como campo conceptual: una aproximación</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Este hace una revisión bibliográfica de autores que abordan el concepto de interculturalidad en especial en Latinoamérica y, además, analiza el concepto de campo; a partir de lo cual elabora una reflexión en el marco de la línea de investigación </w:t>
      </w:r>
      <w:r w:rsidDel="00000000" w:rsidR="00000000" w:rsidRPr="00000000">
        <w:rPr>
          <w:rFonts w:ascii="Times New Roman" w:cs="Times New Roman" w:eastAsia="Times New Roman" w:hAnsi="Times New Roman"/>
          <w:i w:val="1"/>
          <w:iCs w:val="1"/>
          <w:color w:val="000000"/>
          <w:sz w:val="24"/>
          <w:szCs w:val="24"/>
          <w:highlight w:val="white"/>
          <w:rtl w:val="0"/>
        </w:rPr>
        <w:t xml:space="preserve">Enseñanza de las ciencias, contexto y diversidad cultural</w:t>
      </w:r>
      <w:r w:rsidDel="00000000" w:rsidR="00000000" w:rsidRPr="00000000">
        <w:rPr>
          <w:rFonts w:ascii="Times New Roman" w:cs="Times New Roman" w:eastAsia="Times New Roman" w:hAnsi="Times New Roman"/>
          <w:color w:val="000000"/>
          <w:sz w:val="24"/>
          <w:szCs w:val="24"/>
          <w:highlight w:val="white"/>
          <w:rtl w:val="0"/>
        </w:rPr>
        <w:t xml:space="preserve">.</w:t>
      </w:r>
    </w:p>
    <w:p w:rsidR="00000000" w:rsidDel="00000000" w:rsidP="00000000" w:rsidRDefault="00000000" w:rsidRPr="00000000" w14:paraId="00000011">
      <w:pPr>
        <w:jc w:val="both"/>
        <w:rPr>
          <w:rFonts w:ascii="Times New Roman" w:cs="Times New Roman" w:eastAsia="Times New Roman" w:hAnsi="Times New Roman"/>
          <w:color w:val="000000"/>
          <w:sz w:val="24"/>
          <w:szCs w:val="24"/>
          <w:highlight w:val="white"/>
        </w:rPr>
      </w:pPr>
      <w:r w:rsidDel="00000000" w:rsidR="00000000" w:rsidRPr="00000000">
        <w:rPr>
          <w:rFonts w:ascii="Times New Roman" w:cs="Times New Roman" w:eastAsia="Times New Roman" w:hAnsi="Times New Roman"/>
          <w:color w:val="000000"/>
          <w:sz w:val="24"/>
          <w:szCs w:val="24"/>
          <w:highlight w:val="white"/>
          <w:rtl w:val="0"/>
        </w:rPr>
        <w:t xml:space="preserve">Por su parte, el artículo </w:t>
      </w:r>
      <w:r w:rsidDel="00000000" w:rsidR="00000000" w:rsidRPr="00000000">
        <w:rPr>
          <w:rFonts w:ascii="Times New Roman" w:cs="Times New Roman" w:eastAsia="Times New Roman" w:hAnsi="Times New Roman"/>
          <w:i w:val="1"/>
          <w:iCs w:val="1"/>
          <w:color w:val="000000"/>
          <w:sz w:val="24"/>
          <w:szCs w:val="24"/>
          <w:rtl w:val="0"/>
        </w:rPr>
        <w:t xml:space="preserve">Educación en bienestar animal: un desafío actual que debe ser abordado empíricamente</w:t>
      </w:r>
      <w:r w:rsidDel="00000000" w:rsidR="00000000" w:rsidRPr="00000000">
        <w:rPr>
          <w:rFonts w:ascii="Times New Roman" w:cs="Times New Roman" w:eastAsia="Times New Roman" w:hAnsi="Times New Roman"/>
          <w:color w:val="000000"/>
          <w:sz w:val="24"/>
          <w:szCs w:val="24"/>
          <w:rtl w:val="0"/>
        </w:rPr>
        <w:t xml:space="preserve"> </w:t>
      </w:r>
      <w:r w:rsidDel="00000000" w:rsidR="00000000" w:rsidRPr="00000000">
        <w:rPr>
          <w:rFonts w:ascii="Times New Roman" w:cs="Times New Roman" w:eastAsia="Times New Roman" w:hAnsi="Times New Roman"/>
          <w:color w:val="000000"/>
          <w:sz w:val="24"/>
          <w:szCs w:val="24"/>
          <w:highlight w:val="white"/>
          <w:rtl w:val="0"/>
        </w:rPr>
        <w:t xml:space="preserve">recoge, analiza y sistematiza la opinión relacionada con las necesidades que tiene Colombia frente al cuidado de las otras especies y el análisis de la nueva normatividad de veinticinco conocedores de la legislación y defensores de los animales a nivel nacional e internacional. Esto con el fin de avanzar en la educación para el trato digno de los animales no humanos. De acuerdo con los expertos, los ciudadanos deben ser educados en bioética, moral y filosofía; así mismo, las entidades, gremios y personal que educa a las comunidades deben formarse en temáticas como etología, legislación, y técnicas de manejo de animales.</w:t>
      </w:r>
    </w:p>
    <w:p w:rsidR="00000000" w:rsidDel="00000000" w:rsidP="00000000" w:rsidRDefault="00000000" w:rsidRPr="00000000" w14:paraId="00000012">
      <w:pPr>
        <w:pStyle w:val="Heading1"/>
        <w:spacing w:after="150" w:before="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 su vez, el artículo </w:t>
      </w:r>
      <w:r w:rsidDel="00000000" w:rsidR="00000000" w:rsidRPr="00000000">
        <w:rPr>
          <w:rFonts w:ascii="Times New Roman" w:cs="Times New Roman" w:eastAsia="Times New Roman" w:hAnsi="Times New Roman"/>
          <w:i w:val="1"/>
          <w:iCs w:val="1"/>
          <w:color w:val="000000"/>
          <w:sz w:val="24"/>
          <w:szCs w:val="24"/>
          <w:rtl w:val="0"/>
        </w:rPr>
        <w:t xml:space="preserve">Discapacidad: experiencia, saber y enseñanza. Seis docentes universitarios con discapacidad</w:t>
      </w:r>
      <w:r w:rsidDel="00000000" w:rsidR="00000000" w:rsidRPr="00000000">
        <w:rPr>
          <w:rFonts w:ascii="Times New Roman" w:cs="Times New Roman" w:eastAsia="Times New Roman" w:hAnsi="Times New Roman"/>
          <w:color w:val="000000"/>
          <w:sz w:val="24"/>
          <w:szCs w:val="24"/>
          <w:rtl w:val="0"/>
        </w:rPr>
        <w:t xml:space="preserve"> investiga </w:t>
      </w:r>
      <w:r w:rsidDel="00000000" w:rsidR="00000000" w:rsidRPr="00000000">
        <w:rPr>
          <w:rFonts w:ascii="Times New Roman" w:cs="Times New Roman" w:eastAsia="Times New Roman" w:hAnsi="Times New Roman"/>
          <w:color w:val="000000"/>
          <w:sz w:val="24"/>
          <w:szCs w:val="24"/>
          <w:highlight w:val="white"/>
          <w:rtl w:val="0"/>
        </w:rPr>
        <w:t xml:space="preserve">la comprensión del saber de la experiencia de la discapacidad y la relación con el saber pedagógico, de seis docentes universitarios con discapacidad en tres micro˗estudios complementarios: biográfico, clínico˗didáctico y la aplicación del inventario de estilos de enseñanza. Los aspectos más relevantes encontrados tienen que ver con la interacción entre formas de enseñanza, historia personal y experiencias propias con la discapacidad.</w:t>
      </w: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highlight w:val="white"/>
        </w:rPr>
      </w:pPr>
      <w:r w:rsidDel="00000000" w:rsidR="00000000" w:rsidRPr="00000000">
        <w:rPr>
          <w:rFonts w:ascii="Times New Roman" w:cs="Times New Roman" w:eastAsia="Times New Roman" w:hAnsi="Times New Roman"/>
          <w:rtl w:val="0"/>
        </w:rPr>
        <w:t xml:space="preserve">Los últimos dos artículos presentados en este número especial hacen parte del campo de investigación en educación matemática. El primero se titula </w:t>
      </w:r>
      <w:r w:rsidDel="00000000" w:rsidR="00000000" w:rsidRPr="00000000">
        <w:rPr>
          <w:rFonts w:ascii="Times New Roman" w:cs="Times New Roman" w:eastAsia="Times New Roman" w:hAnsi="Times New Roman"/>
          <w:i w:val="1"/>
          <w:iCs w:val="1"/>
          <w:rtl w:val="0"/>
        </w:rPr>
        <w:t xml:space="preserve">La subjetividad política del maestro de matemáticas: necesidad de formación</w:t>
      </w:r>
      <w:r w:rsidDel="00000000" w:rsidR="00000000" w:rsidRPr="00000000">
        <w:rPr>
          <w:rFonts w:ascii="Times New Roman" w:cs="Times New Roman" w:eastAsia="Times New Roman" w:hAnsi="Times New Roman"/>
          <w:highlight w:val="white"/>
          <w:rtl w:val="0"/>
        </w:rPr>
        <w:t xml:space="preserve">, en él se aborda la refiguración de la subjetividad política de los maestros de matemáticas en su experiencia de participación en escenarios colectivos. Para ello, se conceptualiza la subjetividad política y su relevancia en el campo de la Educación Matemática y la formación de profesores de matemáticas. </w:t>
      </w:r>
      <w:r w:rsidDel="00000000" w:rsidR="00000000" w:rsidRPr="00000000">
        <w:rPr>
          <w:rFonts w:ascii="Times New Roman" w:cs="Times New Roman" w:eastAsia="Times New Roman" w:hAnsi="Times New Roman"/>
          <w:rtl w:val="0"/>
        </w:rPr>
        <w:t xml:space="preserve">Y el segundo artículo se titula </w:t>
      </w:r>
      <w:r w:rsidDel="00000000" w:rsidR="00000000" w:rsidRPr="00000000">
        <w:rPr>
          <w:rFonts w:ascii="Times New Roman" w:cs="Times New Roman" w:eastAsia="Times New Roman" w:hAnsi="Times New Roman"/>
          <w:i w:val="1"/>
          <w:iCs w:val="1"/>
          <w:rtl w:val="0"/>
        </w:rPr>
        <w:t xml:space="preserve">Aspectos de la didáctica crítica en prácticas de educación matemática crítica</w:t>
      </w:r>
      <w:r w:rsidDel="00000000" w:rsidR="00000000" w:rsidRPr="00000000">
        <w:rPr>
          <w:rFonts w:ascii="Times New Roman" w:cs="Times New Roman" w:eastAsia="Times New Roman" w:hAnsi="Times New Roman"/>
          <w:rtl w:val="0"/>
        </w:rPr>
        <w:t xml:space="preserve">; el cual presenta</w:t>
      </w:r>
      <w:r w:rsidDel="00000000" w:rsidR="00000000" w:rsidRPr="00000000">
        <w:rPr>
          <w:rFonts w:ascii="Times New Roman" w:cs="Times New Roman" w:eastAsia="Times New Roman" w:hAnsi="Times New Roman"/>
          <w:highlight w:val="white"/>
          <w:rtl w:val="0"/>
        </w:rPr>
        <w:t xml:space="preserve"> el proceso de construcción de un estado del arte con base en reportes de investigación alrededor de la educación matemática crítica, tanto en Colombia como en otros países. </w:t>
      </w:r>
    </w:p>
    <w:p w:rsidR="00000000" w:rsidDel="00000000" w:rsidP="00000000" w:rsidRDefault="00000000" w:rsidRPr="00000000" w14:paraId="00000014">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¿Cómo citar este artículo? / </w:t>
      </w:r>
      <w:r w:rsidDel="00000000" w:rsidR="00000000" w:rsidRPr="00000000">
        <w:rPr>
          <w:rFonts w:ascii="Times New Roman" w:cs="Times New Roman" w:eastAsia="Times New Roman" w:hAnsi="Times New Roman"/>
          <w:b w:val="1"/>
          <w:bCs w:val="1"/>
          <w:i w:val="1"/>
          <w:iCs w:val="1"/>
          <w:rtl w:val="0"/>
        </w:rPr>
        <w:t xml:space="preserve">How to quote this article?</w:t>
      </w:r>
      <w:r w:rsidDel="00000000" w:rsidR="00000000" w:rsidRPr="00000000">
        <w:rPr>
          <w:rtl w:val="0"/>
        </w:rPr>
      </w:r>
    </w:p>
    <w:p w:rsidR="00000000" w:rsidDel="00000000" w:rsidP="00000000" w:rsidRDefault="00000000" w:rsidRPr="00000000" w14:paraId="00000016">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Garzón Barragán, I. (2024). Resultados de investigaciones en el Doctorado Interinstitucional en Educación. </w:t>
      </w:r>
      <w:r w:rsidDel="00000000" w:rsidR="00000000" w:rsidRPr="00000000">
        <w:rPr>
          <w:rFonts w:ascii="Times New Roman" w:cs="Times New Roman" w:eastAsia="Times New Roman" w:hAnsi="Times New Roman"/>
          <w:i w:val="1"/>
          <w:iCs w:val="1"/>
          <w:rtl w:val="0"/>
        </w:rPr>
        <w:t xml:space="preserve">Praxis, Educación y Pedagogía</w:t>
      </w:r>
      <w:r w:rsidDel="00000000" w:rsidR="00000000" w:rsidRPr="00000000">
        <w:rPr>
          <w:rFonts w:ascii="Times New Roman" w:cs="Times New Roman" w:eastAsia="Times New Roman" w:hAnsi="Times New Roman"/>
          <w:rtl w:val="0"/>
        </w:rPr>
        <w:t xml:space="preserve">, (13), e10115505. </w:t>
      </w:r>
      <w:hyperlink r:id="rId8">
        <w:r w:rsidDel="00000000" w:rsidR="00000000" w:rsidRPr="00000000">
          <w:rPr>
            <w:rFonts w:ascii="Times New Roman" w:cs="Times New Roman" w:eastAsia="Times New Roman" w:hAnsi="Times New Roman"/>
            <w:color w:val="1155cc"/>
            <w:u w:val="single"/>
            <w:rtl w:val="0"/>
          </w:rPr>
          <w:t xml:space="preserve">https://doi.org/10.25100/praxis_educacion.v0i13.15505</w:t>
        </w:r>
      </w:hyperlink>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Esta obra está bajo la </w:t>
      </w:r>
      <w:hyperlink r:id="rId9">
        <w:r w:rsidDel="00000000" w:rsidR="00000000" w:rsidRPr="00000000">
          <w:rPr>
            <w:rFonts w:ascii="Times New Roman" w:cs="Times New Roman" w:eastAsia="Times New Roman" w:hAnsi="Times New Roman"/>
            <w:color w:val="0563c1"/>
            <w:u w:val="single"/>
            <w:rtl w:val="0"/>
          </w:rPr>
          <w:t xml:space="preserve">licencia internacional Creative Commons Attribution-NonCommercial-ShareAlike 4.0 International (CC BY-NC-SA 4.0)</w:t>
        </w:r>
      </w:hyperlink>
      <w:r w:rsidDel="00000000" w:rsidR="00000000" w:rsidRPr="00000000">
        <w:rPr>
          <w:rFonts w:ascii="Times New Roman" w:cs="Times New Roman" w:eastAsia="Times New Roman" w:hAnsi="Times New Roman"/>
          <w:rtl w:val="0"/>
        </w:rPr>
        <w:t xml:space="preserve">.</w:t>
      </w:r>
    </w:p>
    <w:sectPr>
      <w:headerReference r:id="rId10" w:type="default"/>
      <w:headerReference r:id="rId11" w:type="first"/>
      <w:headerReference r:id="rId12" w:type="even"/>
      <w:footerReference r:id="rId13" w:type="first"/>
      <w:footerReference r:id="rId14" w:type="even"/>
      <w:pgSz w:h="16838" w:w="11906" w:orient="portrait"/>
      <w:pgMar w:bottom="1440" w:top="1440" w:left="1440" w:right="1440" w:header="708" w:footer="708"/>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Aptos"/>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18">
      <w:pPr>
        <w:spacing w:after="0" w:line="240" w:lineRule="auto"/>
        <w:rPr>
          <w:rFonts w:ascii="Times New Roman" w:cs="Times New Roman" w:eastAsia="Times New Roman" w:hAnsi="Times New Roman"/>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rtl w:val="0"/>
        </w:rPr>
        <w:t xml:space="preserve"> Docente de la Universidad Pedagógica Nacional, Bogotá, Colombia. Correo electrónico: </w:t>
      </w:r>
      <w:hyperlink r:id="rId1">
        <w:r w:rsidDel="00000000" w:rsidR="00000000" w:rsidRPr="00000000">
          <w:rPr>
            <w:rFonts w:ascii="Times New Roman" w:cs="Times New Roman" w:eastAsia="Times New Roman" w:hAnsi="Times New Roman"/>
            <w:color w:val="1155cc"/>
            <w:u w:val="single"/>
            <w:rtl w:val="0"/>
          </w:rPr>
          <w:t xml:space="preserve">igarzon@pedagogica.edu.co</w:t>
        </w:r>
      </w:hyperlink>
      <w:r w:rsidDel="00000000" w:rsidR="00000000" w:rsidRPr="00000000">
        <w:rPr>
          <w:rFonts w:ascii="Times New Roman" w:cs="Times New Roman" w:eastAsia="Times New Roman" w:hAnsi="Times New Roman"/>
          <w:rtl w:val="0"/>
        </w:rPr>
        <w:t xml:space="preserve"> ORCID: </w:t>
      </w:r>
      <w:hyperlink r:id="rId2">
        <w:r w:rsidDel="00000000" w:rsidR="00000000" w:rsidRPr="00000000">
          <w:rPr>
            <w:rFonts w:ascii="Times New Roman" w:cs="Times New Roman" w:eastAsia="Times New Roman" w:hAnsi="Times New Roman"/>
            <w:color w:val="1155cc"/>
            <w:u w:val="single"/>
            <w:rtl w:val="0"/>
          </w:rPr>
          <w:t xml:space="preserve">0000-0001-5348-6153</w:t>
        </w:r>
      </w:hyperlink>
      <w:r w:rsidDel="00000000" w:rsidR="00000000" w:rsidRPr="00000000">
        <w:rPr>
          <w:rFonts w:ascii="Times New Roman" w:cs="Times New Roman" w:eastAsia="Times New Roman" w:hAnsi="Times New Roman"/>
          <w:rtl w:val="0"/>
        </w:rPr>
        <w:t xml:space="preserve"> </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rPr/>
    </w:pPr>
    <w:r w:rsidDel="00000000" w:rsidR="00000000" w:rsidRPr="00000000">
      <w:rPr>
        <w:rFonts w:ascii="Times New Roman" w:cs="Times New Roman" w:eastAsia="Times New Roman" w:hAnsi="Times New Roman"/>
        <w:b w:val="1"/>
        <w:bCs w:val="1"/>
        <w:i w:val="1"/>
        <w:iCs w:val="1"/>
        <w:sz w:val="20"/>
        <w:szCs w:val="20"/>
      </w:rPr>
      <w:pict>
        <v:shape id="PowerPlusWaterMarkObject1" style="position:absolute;width:558.525702331474pt;height:79.67435819393411pt;rotation:315;z-index:-503316481;mso-position-horizontal-relative:margin;mso-position-horizontal:center;mso-position-vertical-relative:margin;mso-position-vertical:center;" fillcolor="#e8eaed" stroked="f" type="#_x0000_t136">
          <v:fill angle="0" opacity="65536f"/>
          <v:textpath fitshape="t" string="Versión en prensa" style="font-family:&amp;quot;Arial&amp;quot;;font-size:1pt;"/>
        </v:shape>
      </w:pict>
    </w:r>
    <w:r w:rsidDel="00000000" w:rsidR="00000000" w:rsidRPr="00000000">
      <w:rPr>
        <w:rFonts w:ascii="Times New Roman" w:cs="Times New Roman" w:eastAsia="Times New Roman" w:hAnsi="Times New Roman"/>
        <w:b w:val="1"/>
        <w:bCs w:val="1"/>
        <w:i w:val="1"/>
        <w:iCs w:val="1"/>
        <w:sz w:val="20"/>
        <w:szCs w:val="20"/>
        <w:rtl w:val="0"/>
      </w:rPr>
      <w:t xml:space="preserve">Editorial</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widowControl w:val="0"/>
      <w:spacing w:after="0" w:line="14.399999999999999" w:lineRule="auto"/>
      <w:jc w:val="center"/>
      <w:rPr/>
    </w:pPr>
    <w:r w:rsidDel="00000000" w:rsidR="00000000" w:rsidRPr="00000000">
      <w:rPr>
        <w:rFonts w:ascii="Calibri" w:cs="Calibri" w:eastAsia="Calibri" w:hAnsi="Calibri"/>
        <w:sz w:val="22"/>
        <w:szCs w:val="22"/>
      </w:rPr>
      <w:pict>
        <v:shape id="PowerPlusWaterMarkObject3" style="position:absolute;width:558.525702331474pt;height:79.67435819393411pt;rotation:315;z-index:-503316481;mso-position-horizontal-relative:margin;mso-position-horizontal:center;mso-position-vertical-relative:margin;mso-position-vertical:center;" fillcolor="#e8eaed" stroked="f" type="#_x0000_t136">
          <v:fill angle="0" opacity="65536f"/>
          <v:textpath fitshape="t" string="Versión en prensa" style="font-family:&amp;quot;Arial&amp;quot;;font-size:1pt;"/>
        </v:shape>
      </w:pict>
    </w:r>
    <w:r w:rsidDel="00000000" w:rsidR="00000000" w:rsidRPr="00000000">
      <w:rPr>
        <w:rFonts w:ascii="Calibri" w:cs="Calibri" w:eastAsia="Calibri" w:hAnsi="Calibri"/>
        <w:sz w:val="22"/>
        <w:szCs w:val="22"/>
      </w:rPr>
      <w:drawing>
        <wp:inline distB="0" distT="0" distL="0" distR="0">
          <wp:extent cx="5400675" cy="1057275"/>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400675" cy="1057275"/>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jc w:val="right"/>
      <w:rPr/>
    </w:pPr>
    <w:r w:rsidDel="00000000" w:rsidR="00000000" w:rsidRPr="00000000">
      <w:rPr>
        <w:rFonts w:ascii="Times New Roman" w:cs="Times New Roman" w:eastAsia="Times New Roman" w:hAnsi="Times New Roman"/>
        <w:b w:val="1"/>
        <w:bCs w:val="1"/>
        <w:i w:val="1"/>
        <w:iCs w:val="1"/>
        <w:sz w:val="20"/>
        <w:szCs w:val="20"/>
      </w:rPr>
      <w:pict>
        <v:shape id="PowerPlusWaterMarkObject2" style="position:absolute;width:558.525702331474pt;height:79.67435819393411pt;rotation:315;z-index:-503316481;mso-position-horizontal-relative:margin;mso-position-horizontal:center;mso-position-vertical-relative:margin;mso-position-vertical:center;" fillcolor="#e8eaed" stroked="f" type="#_x0000_t136">
          <v:fill angle="0" opacity="65536f"/>
          <v:textpath fitshape="t" string="Versión en prensa" style="font-family:&amp;quot;Arial&amp;quot;;font-size:1pt;"/>
        </v:shape>
      </w:pict>
    </w:r>
    <w:r w:rsidDel="00000000" w:rsidR="00000000" w:rsidRPr="00000000">
      <w:rPr>
        <w:rFonts w:ascii="Times New Roman" w:cs="Times New Roman" w:eastAsia="Times New Roman" w:hAnsi="Times New Roman"/>
        <w:b w:val="1"/>
        <w:bCs w:val="1"/>
        <w:i w:val="1"/>
        <w:iCs w:val="1"/>
        <w:sz w:val="20"/>
        <w:szCs w:val="20"/>
        <w:rtl w:val="0"/>
      </w:rPr>
      <w:t xml:space="preserve">Garzón Barragán, I.</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s"/>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1B144D"/>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1B144D"/>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1B144D"/>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1B144D"/>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1B144D"/>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sid w:val="001B144D"/>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1B144D"/>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1B144D"/>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1B144D"/>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1B144D"/>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1B144D"/>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1B144D"/>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1B144D"/>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1B144D"/>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1B144D"/>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1B144D"/>
    <w:rPr>
      <w:i w:val="1"/>
      <w:iCs w:val="1"/>
      <w:color w:val="404040" w:themeColor="text1" w:themeTint="0000BF"/>
    </w:rPr>
  </w:style>
  <w:style w:type="paragraph" w:styleId="ListParagraph">
    <w:name w:val="List Paragraph"/>
    <w:basedOn w:val="Normal"/>
    <w:uiPriority w:val="34"/>
    <w:qFormat w:val="1"/>
    <w:rsid w:val="001B144D"/>
    <w:pPr>
      <w:ind w:left="720"/>
      <w:contextualSpacing w:val="1"/>
    </w:pPr>
  </w:style>
  <w:style w:type="character" w:styleId="IntenseEmphasis">
    <w:name w:val="Intense Emphasis"/>
    <w:basedOn w:val="DefaultParagraphFont"/>
    <w:uiPriority w:val="21"/>
    <w:qFormat w:val="1"/>
    <w:rsid w:val="001B144D"/>
    <w:rPr>
      <w:i w:val="1"/>
      <w:iCs w:val="1"/>
      <w:color w:val="0f4761" w:themeColor="accent1" w:themeShade="0000BF"/>
    </w:rPr>
  </w:style>
  <w:style w:type="paragraph" w:styleId="IntenseQuote">
    <w:name w:val="Intense Quote"/>
    <w:basedOn w:val="Normal"/>
    <w:next w:val="Normal"/>
    <w:link w:val="IntenseQuoteChar"/>
    <w:uiPriority w:val="30"/>
    <w:qFormat w:val="1"/>
    <w:rsid w:val="001B144D"/>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1B144D"/>
    <w:rPr>
      <w:i w:val="1"/>
      <w:iCs w:val="1"/>
      <w:color w:val="0f4761" w:themeColor="accent1" w:themeShade="0000BF"/>
    </w:rPr>
  </w:style>
  <w:style w:type="character" w:styleId="IntenseReference">
    <w:name w:val="Intense Reference"/>
    <w:basedOn w:val="DefaultParagraphFont"/>
    <w:uiPriority w:val="32"/>
    <w:qFormat w:val="1"/>
    <w:rsid w:val="001B144D"/>
    <w:rPr>
      <w:b w:val="1"/>
      <w:bCs w:val="1"/>
      <w:smallCaps w:val="1"/>
      <w:color w:val="0f4761" w:themeColor="accent1" w:themeShade="0000BF"/>
      <w:spacing w:val="5"/>
    </w:rPr>
  </w:style>
  <w:style w:type="paragraph" w:styleId="ds-markdown-paragraph" w:customStyle="1">
    <w:name w:val="ds-markdown-paragraph"/>
    <w:basedOn w:val="Normal"/>
    <w:rsid w:val="001B144D"/>
    <w:pPr>
      <w:spacing w:after="100" w:afterAutospacing="1" w:before="100" w:beforeAutospacing="1" w:line="240" w:lineRule="auto"/>
    </w:pPr>
    <w:rPr>
      <w:rFonts w:ascii="Times New Roman" w:cs="Times New Roman" w:eastAsia="Times New Roman" w:hAnsi="Times New Roman"/>
      <w:kern w:val="0"/>
    </w:rPr>
  </w:style>
  <w:style w:type="character" w:styleId="apple-converted-space" w:customStyle="1">
    <w:name w:val="apple-converted-space"/>
    <w:basedOn w:val="DefaultParagraphFont"/>
    <w:rsid w:val="001B144D"/>
  </w:style>
  <w:style w:type="character" w:styleId="Strong">
    <w:name w:val="Strong"/>
    <w:basedOn w:val="DefaultParagraphFont"/>
    <w:uiPriority w:val="22"/>
    <w:qFormat w:val="1"/>
    <w:rsid w:val="001B144D"/>
    <w:rPr>
      <w:b w:val="1"/>
      <w:bCs w:val="1"/>
    </w:rPr>
  </w:style>
  <w:style w:type="character" w:styleId="Emphasis">
    <w:name w:val="Emphasis"/>
    <w:basedOn w:val="DefaultParagraphFont"/>
    <w:uiPriority w:val="20"/>
    <w:qFormat w:val="1"/>
    <w:rsid w:val="001B144D"/>
    <w:rPr>
      <w:i w:val="1"/>
      <w:iCs w:val="1"/>
    </w:rPr>
  </w:style>
  <w:style w:type="character" w:styleId="Hyperlink">
    <w:name w:val="Hyperlink"/>
    <w:basedOn w:val="DefaultParagraphFont"/>
    <w:uiPriority w:val="99"/>
    <w:semiHidden w:val="1"/>
    <w:unhideWhenUsed w:val="1"/>
    <w:rsid w:val="001B144D"/>
    <w:rPr>
      <w:color w:val="0000ff"/>
      <w:u w:val="single"/>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1.xml"/><Relationship Id="rId13" Type="http://schemas.openxmlformats.org/officeDocument/2006/relationships/footer" Target="footer1.xml"/><Relationship Id="rId12" Type="http://schemas.openxmlformats.org/officeDocument/2006/relationships/header" Target="head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creativecommons.org/licenses/by-nc-sa/4.0/" TargetMode="External"/><Relationship Id="rId14" Type="http://schemas.openxmlformats.org/officeDocument/2006/relationships/footer" Target="footer2.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doi.org/10.25100/praxis_educacion.v0i13.15505"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_rels/footnotes.xml.rels><?xml version="1.0" encoding="UTF-8" standalone="yes"?><Relationships xmlns="http://schemas.openxmlformats.org/package/2006/relationships"><Relationship Id="rId1" Type="http://schemas.openxmlformats.org/officeDocument/2006/relationships/hyperlink" Target="mailto:igarzon@pedagogica.edu.co" TargetMode="External"/><Relationship Id="rId2" Type="http://schemas.openxmlformats.org/officeDocument/2006/relationships/hyperlink" Target="https://orcid.org/0000-0001-5348-6153"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ywz0sSqlkmDBPuYRK/Tcvit6GQ==">CgMxLjAyDmguNGdudzJkMmcwaG9xMg5oLjhqbWQ1YjM4eG1mMzgAciExV1kxOVAxY1dhU2RVSW5Sdk5PdGtUNnY4bWw1bjg1S1k=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2025-11-28T21:17:00Z</dcterms:created>
  <dc:creator>ISABEL GARZON BARRAGAN</dc:creator>
</cp:coreProperties>
</file>